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3D3D3D"/>
          <w:sz w:val="32"/>
          <w:szCs w:val="32"/>
        </w:rPr>
      </w:pPr>
      <w:r w:rsidRPr="00EE203F">
        <w:rPr>
          <w:rFonts w:ascii="黑体" w:eastAsia="黑体" w:hAnsi="黑体" w:cs="Arial" w:hint="eastAsia"/>
          <w:noProof/>
          <w:color w:val="191919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80645</wp:posOffset>
            </wp:positionV>
            <wp:extent cx="6324600" cy="3009900"/>
            <wp:effectExtent l="19050" t="0" r="0" b="0"/>
            <wp:wrapSquare wrapText="bothSides"/>
            <wp:docPr id="1" name="图片 1" descr="http://5b0988e595225.cdn.sohucs.com/images/20171227/edf1aa2d7d8d40419d1ca045138554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71227/edf1aa2d7d8d40419d1ca045138554c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03F">
        <w:rPr>
          <w:rFonts w:ascii="黑体" w:eastAsia="黑体" w:hAnsi="黑体" w:hint="eastAsia"/>
          <w:color w:val="3D3D3D"/>
          <w:sz w:val="32"/>
          <w:szCs w:val="32"/>
        </w:rPr>
        <w:t>关于印发《电动车消防安全五条禁令》的通知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各市公安局，各直属公安局：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近年来，电动车火灾多发，有的甚至造成重大人员伤亡和财产损失。为有效预防和遏制电动车火灾，省厅决定在全省发布《电动车消防安全五条禁令》（以下简称《禁令》），现印发你们，并提出如下要求：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一、广泛张贴宣传。各地要将《禁令》迅速印制发放到各街道乡镇、村（居）民委员会、住宅区的物业服务企业，在人员密集场所、村（居）民楼院显著位置张贴，做到家喻户晓；要协调当地报纸、电台、电视台、网络等媒体发布《禁令》内容，广泛深入宣传，形成浓厚氛围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二、全面组织清查。各级公安机关要督促村（居）民委员会、住宅区的物业服务企业及社会单位按照《禁令》要求全面开展自查自改，发现电动车违规停放、充电的，立即组织清理；对拒不清理的，向公安机关消防机构或公安派出所报告。公安派出所要加大对村（居）民委员会、住宅区物业服务企业的监督检查力度，督促其履行法定职责，全力做好电动车火灾防范工作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lastRenderedPageBreak/>
        <w:t>三、加大执法力度。各级公安机关在贯彻执行《禁令》的工作中，要严格履行消防监督执法职责，对拒不遵守《禁令》的行为，依据《山东省消防条例》第七十二条第三项实施处罚；构成犯罪的，依法追究刑事责任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>
        <w:rPr>
          <w:rFonts w:ascii="仿宋_GB2312" w:eastAsia="仿宋_GB2312" w:hAnsi="微软雅黑" w:hint="eastAsia"/>
          <w:color w:val="3D3D3D"/>
          <w:sz w:val="28"/>
          <w:szCs w:val="28"/>
        </w:rPr>
        <w:t xml:space="preserve"> </w:t>
      </w: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本通知自2017年12月22日起实施，有效期至2020年12月21日。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山东省公安厅</w:t>
      </w:r>
      <w:r w:rsidRPr="00EE203F">
        <w:rPr>
          <w:rFonts w:ascii="微软雅黑" w:eastAsia="仿宋_GB2312" w:hAnsi="微软雅黑" w:hint="eastAsia"/>
          <w:color w:val="3D3D3D"/>
          <w:sz w:val="28"/>
          <w:szCs w:val="28"/>
        </w:rPr>
        <w:t>     </w:t>
      </w:r>
      <w:r w:rsidRPr="00EE203F">
        <w:rPr>
          <w:rStyle w:val="apple-converted-space"/>
          <w:rFonts w:ascii="微软雅黑" w:eastAsia="仿宋_GB2312" w:hAnsi="微软雅黑" w:hint="eastAsia"/>
          <w:color w:val="3D3D3D"/>
          <w:sz w:val="28"/>
          <w:szCs w:val="28"/>
        </w:rPr>
        <w:t> 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2017年12月22日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3D3D3D"/>
          <w:sz w:val="32"/>
          <w:szCs w:val="32"/>
        </w:rPr>
      </w:pPr>
      <w:r w:rsidRPr="00EE203F">
        <w:rPr>
          <w:rFonts w:ascii="黑体" w:eastAsia="黑体" w:hAnsi="黑体" w:hint="eastAsia"/>
          <w:color w:val="3D3D3D"/>
          <w:sz w:val="32"/>
          <w:szCs w:val="32"/>
        </w:rPr>
        <w:t>电动车消防安全五条禁令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为预防和遏制电动车火灾，保护人身财产安全，维护公共安全，根据《中华人民共和国消防法》、《山东省消防条例》等法律法规，山东省公安厅发布禁令如下：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一、严禁在居民住宅区的楼梯间、楼道、疏散通道、安全出口等公共区域停放电动车或为电动车充电。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二、严禁在未作防火隔墙的群租屋和人员密集场所内为电动车充电。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三、严禁电动车占用消防车通道。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四、严禁私拉乱接充电线路为电动车充电。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五、严禁使用易燃可燃材料搭建电动车停放场所。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本禁令所称的电动车是指电动自行车、电动摩托车和电动三轮车。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依据《山东省消防条例》第七十二条第三项规定，对拒不遵守公安机关依法发布的禁令，威胁公共消防安全的，责令改正；拒不改正的，对直接责任人员处以一百元以上五百元以下罚款。</w:t>
      </w:r>
    </w:p>
    <w:p w:rsidR="00EE203F" w:rsidRP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微软雅黑" w:hint="eastAsia"/>
          <w:color w:val="3D3D3D"/>
          <w:sz w:val="28"/>
          <w:szCs w:val="28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山东省公安厅</w:t>
      </w:r>
      <w:r w:rsidRPr="00EE203F">
        <w:rPr>
          <w:rFonts w:ascii="微软雅黑" w:eastAsia="仿宋_GB2312" w:hAnsi="微软雅黑" w:hint="eastAsia"/>
          <w:color w:val="3D3D3D"/>
          <w:sz w:val="28"/>
          <w:szCs w:val="28"/>
        </w:rPr>
        <w:t>   </w:t>
      </w:r>
      <w:r w:rsidRPr="00EE203F">
        <w:rPr>
          <w:rStyle w:val="apple-converted-space"/>
          <w:rFonts w:ascii="微软雅黑" w:eastAsia="仿宋_GB2312" w:hAnsi="微软雅黑" w:hint="eastAsia"/>
          <w:color w:val="3D3D3D"/>
          <w:sz w:val="28"/>
          <w:szCs w:val="28"/>
        </w:rPr>
        <w:t> </w:t>
      </w:r>
    </w:p>
    <w:p w:rsidR="00EE203F" w:rsidRDefault="00EE203F" w:rsidP="00EE203F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D3D3D"/>
        </w:rPr>
      </w:pPr>
      <w:r w:rsidRPr="00EE203F">
        <w:rPr>
          <w:rFonts w:ascii="仿宋_GB2312" w:eastAsia="仿宋_GB2312" w:hAnsi="微软雅黑" w:hint="eastAsia"/>
          <w:color w:val="3D3D3D"/>
          <w:sz w:val="28"/>
          <w:szCs w:val="28"/>
        </w:rPr>
        <w:t>2017年12月22日</w:t>
      </w:r>
    </w:p>
    <w:p w:rsidR="00DD3044" w:rsidRPr="00560072" w:rsidRDefault="00DD3044" w:rsidP="00EE203F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sectPr w:rsidR="00DD3044" w:rsidRPr="00560072" w:rsidSect="0056007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EC" w:rsidRDefault="001C77EC" w:rsidP="00560072">
      <w:r>
        <w:separator/>
      </w:r>
    </w:p>
  </w:endnote>
  <w:endnote w:type="continuationSeparator" w:id="0">
    <w:p w:rsidR="001C77EC" w:rsidRDefault="001C77EC" w:rsidP="0056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EC" w:rsidRDefault="001C77EC" w:rsidP="00560072">
      <w:r>
        <w:separator/>
      </w:r>
    </w:p>
  </w:footnote>
  <w:footnote w:type="continuationSeparator" w:id="0">
    <w:p w:rsidR="001C77EC" w:rsidRDefault="001C77EC" w:rsidP="0056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72"/>
    <w:rsid w:val="00113E4C"/>
    <w:rsid w:val="001C77EC"/>
    <w:rsid w:val="0022372C"/>
    <w:rsid w:val="004636D7"/>
    <w:rsid w:val="00560072"/>
    <w:rsid w:val="006922D0"/>
    <w:rsid w:val="00DD3044"/>
    <w:rsid w:val="00E075E6"/>
    <w:rsid w:val="00E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0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007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600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0072"/>
    <w:rPr>
      <w:sz w:val="18"/>
      <w:szCs w:val="18"/>
    </w:rPr>
  </w:style>
  <w:style w:type="character" w:customStyle="1" w:styleId="apple-converted-space">
    <w:name w:val="apple-converted-space"/>
    <w:basedOn w:val="a0"/>
    <w:rsid w:val="00EE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2018-01-05T00:34:00Z</dcterms:created>
  <dcterms:modified xsi:type="dcterms:W3CDTF">2018-01-05T00:50:00Z</dcterms:modified>
</cp:coreProperties>
</file>