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jc w:val="left"/>
        <w:rPr>
          <w:rFonts w:ascii="仿宋" w:hAnsi="仿宋" w:eastAsia="仿宋"/>
          <w:sz w:val="32"/>
          <w:szCs w:val="32"/>
        </w:rPr>
      </w:pPr>
      <w:bookmarkStart w:id="0" w:name="OLE_LINK2"/>
      <w:bookmarkStart w:id="1" w:name="OLE_LINK1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>
      <w:pPr>
        <w:widowControl/>
        <w:spacing w:line="580" w:lineRule="exact"/>
        <w:jc w:val="center"/>
        <w:rPr>
          <w:rFonts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  <w:t>教学设计范例及具体要求教学设计范例目录</w:t>
      </w:r>
    </w:p>
    <w:p>
      <w:pPr>
        <w:spacing w:line="580" w:lineRule="exact"/>
        <w:jc w:val="center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</w:p>
    <w:p>
      <w:pPr>
        <w:spacing w:line="580" w:lineRule="exact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《高级生物化学》教学大纲中基本教学内容共 10 章，此次教学设计的 20个节段分别选自第 1、2、3、4、5、6、7、8、9 和 10 章。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1. 稳定蛋白质结构的作用力……………………………………………………… 1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选自第一章：蛋白质生物化学/第一节：蛋白质的分子结构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2. 一级结构是空间构象的基础 ……………………………………………………… 5</w:t>
      </w:r>
    </w:p>
    <w:p>
      <w:pPr>
        <w:spacing w:line="580" w:lineRule="exact"/>
        <w:ind w:firstLine="240" w:firstLineChars="100"/>
        <w:jc w:val="left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选自第一章：蛋白质生物化学/第三节：蛋白质结构与功能的关系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3. 血红蛋白………………………………………………………………………… 9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选自第一章：蛋白质生物化学/第四节：蛋白质的功能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4. DNA 是遗传物质的基础………………………………………………………………13</w:t>
      </w:r>
    </w:p>
    <w:p>
      <w:pPr>
        <w:spacing w:line="580" w:lineRule="exact"/>
        <w:ind w:firstLine="240" w:firstLineChars="100"/>
        <w:jc w:val="left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选自第二章：核酸生物化学/第二节：DNA的空间结构与功能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5.RNAi……………………………………………………………………………………17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选自第二章：核酸生物化学/第四节：核酸的研究进展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6. 酶的活性中心……………………………………………………………………21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选自第三章：酶的作用原理/第一节：酶的分子结构与功能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7. 酶作用机制的实例(胰凝乳蛋白酶)……………………………………………25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选自第三章：酶的作用原理/第二节：酶的工作原理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8. 糖的无氧氧化……………………………………………………………………29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选自第四章：糖代谢/第二节: 糖的无氧代谢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9. 三羧酸循环……………………………………………………………………………33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选自第四章：糖代谢/第三节：糖的有氧氧化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10. 血糖及其调节……………………………………………………………………37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选自第四章：糖代谢/第八节：血糖及其调节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11. 甘油三酯的分解代谢……………………………………………………………41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选自第五章：代谢调节/第一节：甘油三脂代谢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12. 酮体的生成和利用………………………………………………………………45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选自第五章：代谢调节/第二节：脂酸的其他代谢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13. 泛素介导的蛋白质降解…………………………………………………………49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选自第五章：代谢调节/第三节：蛋白质的消化、吸收和降解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14. 氧化磷酸化偶联机制……………………………………………………………53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选自第六章：生物氧化/第一节：生成 ATP 的氧化磷酸化关键酶体系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15. 物质代谢的相互联系………………………………………………………………57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选自第七章：物质代谢的联系与调节/第一节：生成 ATP 的氧化磷酸化酶体系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16. 端粒和端粒酶………………………………………………………………………61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选自第八章：遗传信息传递的中心法则/第一节：DNA 的生物合成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17. 真核生物 RNA 转录产物的加工………………………………………………….65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选自第八章：遗传信息传递的中心法则/第二节：RNA 的生物合成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18. 肽链的生物合成过程………………………………………………………………69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选自第八章：遗传信息传递的中心法则/第三节：蛋白质的生物合成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19. 操纵子调控模型……………………………………………………………………73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选自第九章：基因表达调控/第三节：原核基因表达调节</w:t>
      </w:r>
    </w:p>
    <w:p>
      <w:pPr>
        <w:spacing w:line="580" w:lineRule="exact"/>
        <w:jc w:val="distribute"/>
        <w:rPr>
          <w:rFonts w:cs="仿宋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20. 油菜素内酯的信号转导模式…………………………………………………77</w:t>
      </w:r>
    </w:p>
    <w:p>
      <w:pPr>
        <w:spacing w:line="580" w:lineRule="exact"/>
        <w:ind w:firstLine="240" w:firstLineChars="100"/>
        <w:rPr>
          <w:rFonts w:cs="仿宋" w:asciiTheme="minorEastAsia" w:hAnsiTheme="minorEastAsia" w:eastAsiaTheme="minorEastAsia"/>
          <w:sz w:val="24"/>
          <w:szCs w:val="24"/>
        </w:rPr>
      </w:pPr>
      <w:r>
        <w:rPr>
          <w:rFonts w:hint="eastAsia" w:cs="仿宋" w:asciiTheme="minorEastAsia" w:hAnsiTheme="minorEastAsia" w:eastAsiaTheme="minorEastAsia"/>
          <w:bCs/>
          <w:kern w:val="0"/>
          <w:sz w:val="24"/>
          <w:szCs w:val="24"/>
        </w:rPr>
        <w:t>选自第十章：细胞信号转导/第四节：植物激素及其受体的研究进展</w:t>
      </w:r>
    </w:p>
    <w:p>
      <w:pPr>
        <w:spacing w:line="580" w:lineRule="exac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580" w:lineRule="exact"/>
        <w:ind w:firstLine="720" w:firstLineChars="200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  <w:t>教学设计选取的具体要求</w:t>
      </w:r>
    </w:p>
    <w:tbl>
      <w:tblPr>
        <w:tblStyle w:val="10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3402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参赛课程使用的课本章、节数情况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20个课时教学设计选取范围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课程讲授课时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多于20章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在20章中选取，每章1个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spacing w:line="580" w:lineRule="exact"/>
              <w:jc w:val="center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大于36课时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等于20章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在全部的章中选取，每章1个</w:t>
            </w:r>
          </w:p>
        </w:tc>
        <w:tc>
          <w:tcPr>
            <w:tcW w:w="1701" w:type="dxa"/>
            <w:vMerge w:val="continue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23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少于20章、多于20节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覆盖所有章、在20节中选取</w:t>
            </w:r>
          </w:p>
        </w:tc>
        <w:tc>
          <w:tcPr>
            <w:tcW w:w="1701" w:type="dxa"/>
            <w:vMerge w:val="continue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3823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少于20章、等于或少于20节</w:t>
            </w:r>
          </w:p>
        </w:tc>
        <w:tc>
          <w:tcPr>
            <w:tcW w:w="3402" w:type="dxa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华文仿宋" w:asciiTheme="minorEastAsia" w:hAnsiTheme="minorEastAsia" w:eastAsiaTheme="minorEastAsia"/>
                <w:kern w:val="0"/>
                <w:sz w:val="24"/>
                <w:szCs w:val="24"/>
              </w:rPr>
              <w:t>覆盖所有章、节</w:t>
            </w:r>
          </w:p>
        </w:tc>
        <w:tc>
          <w:tcPr>
            <w:tcW w:w="1701" w:type="dxa"/>
            <w:vMerge w:val="continue"/>
            <w:shd w:val="clear" w:color="auto" w:fill="auto"/>
          </w:tcPr>
          <w:p>
            <w:pPr>
              <w:spacing w:line="580" w:lineRule="exact"/>
              <w:rPr>
                <w:rFonts w:cs="华文仿宋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pStyle w:val="20"/>
        <w:spacing w:line="580" w:lineRule="exact"/>
        <w:ind w:firstLine="0" w:firstLineChars="0"/>
        <w:jc w:val="left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580" w:lineRule="exact"/>
        <w:rPr>
          <w:rFonts w:cs="Arial" w:asciiTheme="minorEastAsia" w:hAnsiTheme="minorEastAsia" w:eastAsiaTheme="minorEastAsia"/>
          <w:kern w:val="0"/>
          <w:sz w:val="24"/>
          <w:szCs w:val="24"/>
        </w:rPr>
      </w:pPr>
    </w:p>
    <w:p>
      <w:pPr>
        <w:spacing w:line="580" w:lineRule="exact"/>
        <w:rPr>
          <w:rFonts w:cs="Arial" w:asciiTheme="minorEastAsia" w:hAnsiTheme="minorEastAsia" w:eastAsiaTheme="minorEastAsia"/>
          <w:kern w:val="0"/>
          <w:sz w:val="24"/>
          <w:szCs w:val="24"/>
        </w:rPr>
      </w:pPr>
    </w:p>
    <w:p>
      <w:pPr>
        <w:spacing w:line="580" w:lineRule="exact"/>
        <w:rPr>
          <w:rFonts w:cs="Arial" w:asciiTheme="minorEastAsia" w:hAnsiTheme="minorEastAsia" w:eastAsiaTheme="minorEastAsia"/>
          <w:kern w:val="0"/>
          <w:sz w:val="24"/>
          <w:szCs w:val="24"/>
        </w:rPr>
      </w:pPr>
    </w:p>
    <w:p>
      <w:pPr>
        <w:spacing w:line="580" w:lineRule="exact"/>
        <w:rPr>
          <w:rFonts w:cs="Arial" w:asciiTheme="minorEastAsia" w:hAnsiTheme="minorEastAsia" w:eastAsiaTheme="minorEastAsia"/>
          <w:kern w:val="0"/>
          <w:sz w:val="24"/>
          <w:szCs w:val="24"/>
        </w:rPr>
      </w:pPr>
    </w:p>
    <w:p>
      <w:pPr>
        <w:spacing w:line="580" w:lineRule="exact"/>
        <w:rPr>
          <w:rFonts w:asciiTheme="minorEastAsia" w:hAnsiTheme="minorEastAsia" w:eastAsiaTheme="minorEastAsia"/>
          <w:kern w:val="0"/>
          <w:sz w:val="24"/>
          <w:szCs w:val="24"/>
        </w:rPr>
      </w:pPr>
    </w:p>
    <w:p>
      <w:pPr>
        <w:spacing w:line="580" w:lineRule="exact"/>
        <w:rPr>
          <w:rFonts w:asciiTheme="minorEastAsia" w:hAnsiTheme="minorEastAsia" w:eastAsiaTheme="minorEastAsia"/>
          <w:kern w:val="0"/>
          <w:sz w:val="24"/>
          <w:szCs w:val="24"/>
        </w:rPr>
      </w:pPr>
    </w:p>
    <w:p>
      <w:pPr>
        <w:spacing w:line="580" w:lineRule="exact"/>
        <w:rPr>
          <w:rFonts w:asciiTheme="minorEastAsia" w:hAnsiTheme="minorEastAsia" w:eastAsiaTheme="minorEastAsia"/>
          <w:kern w:val="0"/>
          <w:sz w:val="24"/>
          <w:szCs w:val="24"/>
        </w:rPr>
      </w:pPr>
    </w:p>
    <w:p>
      <w:pPr>
        <w:widowControl/>
        <w:spacing w:line="58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br w:type="page"/>
      </w:r>
    </w:p>
    <w:p>
      <w:pPr>
        <w:widowControl/>
        <w:spacing w:line="580" w:lineRule="exact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</w:p>
    <w:p>
      <w:pPr>
        <w:spacing w:line="580" w:lineRule="exact"/>
        <w:jc w:val="center"/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:lang w:eastAsia="zh-CN"/>
          <w14:textFill>
            <w14:solidFill>
              <w14:schemeClr w14:val="tx1"/>
            </w14:solidFill>
          </w14:textFill>
        </w:rPr>
        <w:t>潍坊医学院</w:t>
      </w: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  <w:t>第五届青年教师教学比赛</w:t>
      </w:r>
    </w:p>
    <w:p>
      <w:pPr>
        <w:spacing w:line="580" w:lineRule="exact"/>
        <w:jc w:val="center"/>
        <w:rPr>
          <w:rFonts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  <w:t>教学设计方案评分表</w:t>
      </w:r>
    </w:p>
    <w:p>
      <w:pPr>
        <w:widowControl/>
        <w:spacing w:line="580" w:lineRule="exact"/>
        <w:rPr>
          <w:rFonts w:asciiTheme="minorEastAsia" w:hAnsiTheme="minorEastAsia" w:eastAsiaTheme="minorEastAsia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选手编号：</w:t>
      </w:r>
    </w:p>
    <w:tbl>
      <w:tblPr>
        <w:tblStyle w:val="10"/>
        <w:tblW w:w="88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5802"/>
        <w:gridCol w:w="889"/>
        <w:gridCol w:w="8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评测要求</w:t>
            </w: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教学设计</w:t>
            </w:r>
          </w:p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方案（15分）</w:t>
            </w:r>
          </w:p>
        </w:tc>
        <w:tc>
          <w:tcPr>
            <w:tcW w:w="58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符合教学大纲，内容充实，反映学科前沿。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教学目标明确、思路清晰。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准确把握课程的重点和难点，针对性强。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8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教学进程组织合理，能够选用信息技术、数字资源和信息化教学设施系统优化教学过程，教学方法手段运用恰当有效。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96" w:hRule="atLeast"/>
          <w:jc w:val="center"/>
        </w:trPr>
        <w:tc>
          <w:tcPr>
            <w:tcW w:w="12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文字表达准确、简洁，阐述清楚。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评委</w:t>
            </w:r>
          </w:p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签名</w:t>
            </w:r>
          </w:p>
        </w:tc>
        <w:tc>
          <w:tcPr>
            <w:tcW w:w="58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合计 得分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spacing w:line="580" w:lineRule="exact"/>
        <w:jc w:val="left"/>
        <w:rPr>
          <w:rFonts w:cs="宋体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24"/>
          <w:szCs w:val="24"/>
        </w:rPr>
        <w:t>注：评委评分可保留小数点后两位。</w:t>
      </w:r>
    </w:p>
    <w:p>
      <w:pPr>
        <w:spacing w:line="580" w:lineRule="exact"/>
        <w:rPr>
          <w:rFonts w:asciiTheme="minorEastAsia" w:hAnsiTheme="minorEastAsia" w:eastAsiaTheme="minorEastAsia"/>
          <w:kern w:val="0"/>
          <w:sz w:val="24"/>
          <w:szCs w:val="24"/>
        </w:rPr>
      </w:pPr>
    </w:p>
    <w:p>
      <w:pPr>
        <w:widowControl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br w:type="page"/>
      </w:r>
    </w:p>
    <w:p>
      <w:pPr>
        <w:widowControl/>
        <w:spacing w:line="58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:lang w:eastAsia="zh-CN"/>
          <w14:textFill>
            <w14:solidFill>
              <w14:schemeClr w14:val="tx1"/>
            </w14:solidFill>
          </w14:textFill>
        </w:rPr>
        <w:t>潍坊医学院</w:t>
      </w: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  <w:t>第五届青年教师教学比赛</w:t>
      </w:r>
    </w:p>
    <w:p>
      <w:pPr>
        <w:widowControl/>
        <w:spacing w:line="580" w:lineRule="exact"/>
        <w:jc w:val="center"/>
        <w:rPr>
          <w:rFonts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  <w:t>课堂教学评分表</w:t>
      </w:r>
    </w:p>
    <w:p>
      <w:pPr>
        <w:widowControl/>
        <w:spacing w:line="580" w:lineRule="exact"/>
        <w:ind w:firstLine="120" w:firstLineChars="50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选手编号:</w:t>
      </w:r>
    </w:p>
    <w:tbl>
      <w:tblPr>
        <w:tblStyle w:val="10"/>
        <w:tblW w:w="937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134"/>
        <w:gridCol w:w="5501"/>
        <w:gridCol w:w="1019"/>
        <w:gridCol w:w="7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66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评测要求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分值（80）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 xml:space="preserve">得分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课堂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(80分)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内容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(32分)</w:t>
            </w: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理论联系实际，符合学生的特点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3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注重学术性，内容充实，信息量大，渗透专业思想，为教学目标服务。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反映或联系学科发展新思想、新概念、新成果。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pacing w:val="-16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重点突出，条理清楚，内容承前启后，循序渐进。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组织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(32分)</w:t>
            </w: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教学过程安排合理，方法运用灵活、恰当，教学设计方案体现完整。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34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　</w:t>
            </w: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启发性强，能有效调动学生思维和学习积极性。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34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教课时间安排合理，课堂应变能力强。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熟练、有效地运用多媒体等现代教学手段，信息技术与数字资源运用合理、有效。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34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板书设计与教学内容紧密联系、结构合理，板书与多媒体相配合，简洁、工整、美观、大小适当。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语言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教态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(11分)</w:t>
            </w: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普通话讲课，语言清晰、流畅、准确、生动，语速节奏恰当。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Merge w:val="restart"/>
            <w:tcBorders>
              <w:top w:val="nil"/>
              <w:left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肢体语言运用合理、恰当，教态自然大方。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教态仪表自然得体，精神饱满，亲和力强。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特色</w:t>
            </w:r>
          </w:p>
          <w:p>
            <w:pPr>
              <w:spacing w:line="3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(5分)</w:t>
            </w:r>
          </w:p>
        </w:tc>
        <w:tc>
          <w:tcPr>
            <w:tcW w:w="5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教学理念先进、风格突出、感染力强、教学效果好。</w:t>
            </w: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1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评委签名</w:t>
            </w:r>
          </w:p>
        </w:tc>
        <w:tc>
          <w:tcPr>
            <w:tcW w:w="55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合计 得分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spacing w:line="580" w:lineRule="exact"/>
        <w:ind w:firstLine="120" w:firstLineChars="50"/>
        <w:jc w:val="left"/>
        <w:rPr>
          <w:rFonts w:cs="宋体" w:asciiTheme="minorEastAsia" w:hAnsiTheme="minorEastAsia" w:eastAsiaTheme="minorEastAsia"/>
          <w:bCs/>
          <w:kern w:val="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24"/>
          <w:szCs w:val="24"/>
        </w:rPr>
        <w:t>注：评委评分可保留小数点后两位。</w:t>
      </w:r>
    </w:p>
    <w:p>
      <w:pPr>
        <w:widowControl/>
        <w:spacing w:line="58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:lang w:eastAsia="zh-CN"/>
          <w14:textFill>
            <w14:solidFill>
              <w14:schemeClr w14:val="tx1"/>
            </w14:solidFill>
          </w14:textFill>
        </w:rPr>
        <w:t>潍坊医学院</w:t>
      </w:r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  <w:t>第五届青年教师教学比赛</w:t>
      </w:r>
    </w:p>
    <w:p>
      <w:pPr>
        <w:widowControl/>
        <w:spacing w:line="580" w:lineRule="exact"/>
        <w:jc w:val="center"/>
        <w:rPr>
          <w:rFonts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</w:pPr>
      <w:bookmarkStart w:id="2" w:name="_GoBack"/>
      <w:bookmarkEnd w:id="2"/>
      <w:r>
        <w:rPr>
          <w:rFonts w:hint="eastAsia" w:ascii="方正小标宋简体" w:eastAsia="方正小标宋简体" w:cs="雅黑" w:hAnsiTheme="minorEastAsia"/>
          <w:color w:val="000000" w:themeColor="text1"/>
          <w:kern w:val="0"/>
          <w:sz w:val="36"/>
          <w:szCs w:val="44"/>
          <w14:textFill>
            <w14:solidFill>
              <w14:schemeClr w14:val="tx1"/>
            </w14:solidFill>
          </w14:textFill>
        </w:rPr>
        <w:t>课堂教学反思评分表</w:t>
      </w:r>
    </w:p>
    <w:p>
      <w:pPr>
        <w:widowControl/>
        <w:spacing w:line="580" w:lineRule="exact"/>
        <w:ind w:firstLine="134" w:firstLineChars="56"/>
        <w:jc w:val="left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选手编号：</w:t>
      </w:r>
    </w:p>
    <w:tbl>
      <w:tblPr>
        <w:tblStyle w:val="10"/>
        <w:tblW w:w="878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4690"/>
        <w:gridCol w:w="1260"/>
        <w:gridCol w:w="13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4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  <w:t>评测要求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  <w:t>分值（5）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7" w:hRule="atLeast"/>
          <w:jc w:val="center"/>
        </w:trPr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教学</w:t>
            </w:r>
          </w:p>
          <w:p>
            <w:pPr>
              <w:widowControl/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反思</w:t>
            </w:r>
          </w:p>
          <w:p>
            <w:pPr>
              <w:widowControl/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(5分)</w:t>
            </w:r>
          </w:p>
        </w:tc>
        <w:tc>
          <w:tcPr>
            <w:tcW w:w="4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从教学理念、教学方法、教学过程三方面着手，做到联系实际、思路清晰、观点明确、文理通顺，有感而发。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80" w:lineRule="exac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评委签名</w:t>
            </w:r>
          </w:p>
        </w:tc>
        <w:tc>
          <w:tcPr>
            <w:tcW w:w="72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</w:tbl>
    <w:p>
      <w:pPr>
        <w:spacing w:line="580" w:lineRule="exact"/>
        <w:ind w:firstLine="240" w:firstLineChars="1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24"/>
          <w:szCs w:val="24"/>
        </w:rPr>
        <w:t>注：评委评分可保留小数点后两位。</w:t>
      </w:r>
      <w:bookmarkEnd w:id="0"/>
      <w:bookmarkEnd w:id="1"/>
    </w:p>
    <w:sectPr>
      <w:footerReference r:id="rId3" w:type="default"/>
      <w:pgSz w:w="11906" w:h="16838"/>
      <w:pgMar w:top="1843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9525" b="1206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+L3UTQAAAAAgEAAA8AAAAAAAAAAQAgAAAAIgAAAGRycy9kb3ducmV2LnhtbFBLAQIUABQAAAAI&#10;AIdO4kAL2RMwvAEAAFEDAAAOAAAAAAAAAAEAIAAAAB8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4C"/>
    <w:rsid w:val="00001814"/>
    <w:rsid w:val="00010390"/>
    <w:rsid w:val="00015880"/>
    <w:rsid w:val="000273B1"/>
    <w:rsid w:val="000348FA"/>
    <w:rsid w:val="00053BBA"/>
    <w:rsid w:val="0005656C"/>
    <w:rsid w:val="00062E9F"/>
    <w:rsid w:val="0006416C"/>
    <w:rsid w:val="00072F2F"/>
    <w:rsid w:val="0009035D"/>
    <w:rsid w:val="00094655"/>
    <w:rsid w:val="000967F4"/>
    <w:rsid w:val="000A5199"/>
    <w:rsid w:val="000B5326"/>
    <w:rsid w:val="000C5525"/>
    <w:rsid w:val="000C6053"/>
    <w:rsid w:val="000D1241"/>
    <w:rsid w:val="000D2598"/>
    <w:rsid w:val="000D6E1F"/>
    <w:rsid w:val="000E42F0"/>
    <w:rsid w:val="000E5B6C"/>
    <w:rsid w:val="001019B6"/>
    <w:rsid w:val="00102952"/>
    <w:rsid w:val="00103FE3"/>
    <w:rsid w:val="00121585"/>
    <w:rsid w:val="0013132B"/>
    <w:rsid w:val="0013274E"/>
    <w:rsid w:val="00133568"/>
    <w:rsid w:val="00153922"/>
    <w:rsid w:val="00155ABE"/>
    <w:rsid w:val="00165A5C"/>
    <w:rsid w:val="0017326F"/>
    <w:rsid w:val="00176AE6"/>
    <w:rsid w:val="0018658A"/>
    <w:rsid w:val="0019299C"/>
    <w:rsid w:val="001A5D83"/>
    <w:rsid w:val="001B03C8"/>
    <w:rsid w:val="001B0A02"/>
    <w:rsid w:val="001B2093"/>
    <w:rsid w:val="001C4E27"/>
    <w:rsid w:val="001C5BAA"/>
    <w:rsid w:val="001D043E"/>
    <w:rsid w:val="001D214A"/>
    <w:rsid w:val="001D3DE6"/>
    <w:rsid w:val="001E387D"/>
    <w:rsid w:val="001E5382"/>
    <w:rsid w:val="001F31B3"/>
    <w:rsid w:val="001F5C88"/>
    <w:rsid w:val="00213E26"/>
    <w:rsid w:val="002146B8"/>
    <w:rsid w:val="00214D7E"/>
    <w:rsid w:val="00216673"/>
    <w:rsid w:val="00221633"/>
    <w:rsid w:val="0022259E"/>
    <w:rsid w:val="0023224F"/>
    <w:rsid w:val="00232AD5"/>
    <w:rsid w:val="00233C8F"/>
    <w:rsid w:val="00253108"/>
    <w:rsid w:val="0025737F"/>
    <w:rsid w:val="0026046E"/>
    <w:rsid w:val="00264FBA"/>
    <w:rsid w:val="0027128A"/>
    <w:rsid w:val="002865E7"/>
    <w:rsid w:val="00291EC0"/>
    <w:rsid w:val="002A3A48"/>
    <w:rsid w:val="002A62DE"/>
    <w:rsid w:val="002C4270"/>
    <w:rsid w:val="002C4D18"/>
    <w:rsid w:val="002C60EC"/>
    <w:rsid w:val="002D6211"/>
    <w:rsid w:val="002D66D7"/>
    <w:rsid w:val="002E066C"/>
    <w:rsid w:val="002E1388"/>
    <w:rsid w:val="002E1AC7"/>
    <w:rsid w:val="002E1AFC"/>
    <w:rsid w:val="002E2C0D"/>
    <w:rsid w:val="002E709E"/>
    <w:rsid w:val="002F68B9"/>
    <w:rsid w:val="002F7001"/>
    <w:rsid w:val="0030629A"/>
    <w:rsid w:val="0031500D"/>
    <w:rsid w:val="003152BD"/>
    <w:rsid w:val="00320AE8"/>
    <w:rsid w:val="00322DF1"/>
    <w:rsid w:val="003250A5"/>
    <w:rsid w:val="00330E5F"/>
    <w:rsid w:val="0034533E"/>
    <w:rsid w:val="003511A4"/>
    <w:rsid w:val="00351953"/>
    <w:rsid w:val="00351A7F"/>
    <w:rsid w:val="003534EA"/>
    <w:rsid w:val="003625E8"/>
    <w:rsid w:val="00362B93"/>
    <w:rsid w:val="00376601"/>
    <w:rsid w:val="00383276"/>
    <w:rsid w:val="003869BE"/>
    <w:rsid w:val="00386D9D"/>
    <w:rsid w:val="00394BA2"/>
    <w:rsid w:val="00396BD4"/>
    <w:rsid w:val="003A2572"/>
    <w:rsid w:val="003A786C"/>
    <w:rsid w:val="003B5121"/>
    <w:rsid w:val="003C189B"/>
    <w:rsid w:val="003D1227"/>
    <w:rsid w:val="003D7CC6"/>
    <w:rsid w:val="003E070A"/>
    <w:rsid w:val="003E0925"/>
    <w:rsid w:val="003F0598"/>
    <w:rsid w:val="003F25B9"/>
    <w:rsid w:val="003F547A"/>
    <w:rsid w:val="003F7E3E"/>
    <w:rsid w:val="00401E02"/>
    <w:rsid w:val="004169D4"/>
    <w:rsid w:val="00423D41"/>
    <w:rsid w:val="00424FD9"/>
    <w:rsid w:val="00427CFC"/>
    <w:rsid w:val="0043630D"/>
    <w:rsid w:val="0044050F"/>
    <w:rsid w:val="0044146B"/>
    <w:rsid w:val="0044201F"/>
    <w:rsid w:val="00444645"/>
    <w:rsid w:val="00451CAC"/>
    <w:rsid w:val="00454636"/>
    <w:rsid w:val="00460925"/>
    <w:rsid w:val="00462D6F"/>
    <w:rsid w:val="00467186"/>
    <w:rsid w:val="00482215"/>
    <w:rsid w:val="004834E2"/>
    <w:rsid w:val="00490D2F"/>
    <w:rsid w:val="004A01E2"/>
    <w:rsid w:val="004A5C4B"/>
    <w:rsid w:val="004A63B3"/>
    <w:rsid w:val="004A735D"/>
    <w:rsid w:val="004B1496"/>
    <w:rsid w:val="004B3A2C"/>
    <w:rsid w:val="004B7968"/>
    <w:rsid w:val="004C3A01"/>
    <w:rsid w:val="004C55D4"/>
    <w:rsid w:val="004C5E9A"/>
    <w:rsid w:val="004C6A23"/>
    <w:rsid w:val="004D2D0D"/>
    <w:rsid w:val="004E3B00"/>
    <w:rsid w:val="004E71FE"/>
    <w:rsid w:val="004F1914"/>
    <w:rsid w:val="004F362B"/>
    <w:rsid w:val="00500B38"/>
    <w:rsid w:val="005012DC"/>
    <w:rsid w:val="00504DDB"/>
    <w:rsid w:val="00516468"/>
    <w:rsid w:val="00522326"/>
    <w:rsid w:val="005236A0"/>
    <w:rsid w:val="00523A51"/>
    <w:rsid w:val="00527C42"/>
    <w:rsid w:val="00536A51"/>
    <w:rsid w:val="00537ACC"/>
    <w:rsid w:val="00542692"/>
    <w:rsid w:val="005473C4"/>
    <w:rsid w:val="00553E8F"/>
    <w:rsid w:val="0055785E"/>
    <w:rsid w:val="00557DE8"/>
    <w:rsid w:val="00560C22"/>
    <w:rsid w:val="0056429B"/>
    <w:rsid w:val="00570DFA"/>
    <w:rsid w:val="00571102"/>
    <w:rsid w:val="00571262"/>
    <w:rsid w:val="00572A95"/>
    <w:rsid w:val="0057305C"/>
    <w:rsid w:val="00575203"/>
    <w:rsid w:val="00580400"/>
    <w:rsid w:val="00581628"/>
    <w:rsid w:val="00597A04"/>
    <w:rsid w:val="005A3FEA"/>
    <w:rsid w:val="005B1B3C"/>
    <w:rsid w:val="005B647E"/>
    <w:rsid w:val="005B64CE"/>
    <w:rsid w:val="005C2193"/>
    <w:rsid w:val="005C745D"/>
    <w:rsid w:val="005D1DA3"/>
    <w:rsid w:val="005D6CC8"/>
    <w:rsid w:val="005E2767"/>
    <w:rsid w:val="005E2F6C"/>
    <w:rsid w:val="005E3443"/>
    <w:rsid w:val="005E6DA2"/>
    <w:rsid w:val="00607B17"/>
    <w:rsid w:val="00624AED"/>
    <w:rsid w:val="00633DB0"/>
    <w:rsid w:val="006402BE"/>
    <w:rsid w:val="00644147"/>
    <w:rsid w:val="00650346"/>
    <w:rsid w:val="00655AFD"/>
    <w:rsid w:val="0066025F"/>
    <w:rsid w:val="006602FC"/>
    <w:rsid w:val="006676B7"/>
    <w:rsid w:val="00677247"/>
    <w:rsid w:val="00680F63"/>
    <w:rsid w:val="00681C58"/>
    <w:rsid w:val="00682446"/>
    <w:rsid w:val="00687558"/>
    <w:rsid w:val="00692671"/>
    <w:rsid w:val="00697451"/>
    <w:rsid w:val="006A0C15"/>
    <w:rsid w:val="006A6605"/>
    <w:rsid w:val="006A7293"/>
    <w:rsid w:val="006B5C0A"/>
    <w:rsid w:val="006E0740"/>
    <w:rsid w:val="006E1834"/>
    <w:rsid w:val="006F34BC"/>
    <w:rsid w:val="00711E4C"/>
    <w:rsid w:val="007138EB"/>
    <w:rsid w:val="00713F82"/>
    <w:rsid w:val="0071546F"/>
    <w:rsid w:val="00715640"/>
    <w:rsid w:val="00720790"/>
    <w:rsid w:val="00722816"/>
    <w:rsid w:val="00731B69"/>
    <w:rsid w:val="007410FC"/>
    <w:rsid w:val="0074755A"/>
    <w:rsid w:val="00752CB2"/>
    <w:rsid w:val="00767F27"/>
    <w:rsid w:val="00770CB2"/>
    <w:rsid w:val="00783929"/>
    <w:rsid w:val="00784030"/>
    <w:rsid w:val="007A0163"/>
    <w:rsid w:val="007A01E1"/>
    <w:rsid w:val="007A0A06"/>
    <w:rsid w:val="007B25A8"/>
    <w:rsid w:val="007B740F"/>
    <w:rsid w:val="007C317E"/>
    <w:rsid w:val="007C34F4"/>
    <w:rsid w:val="007C4A96"/>
    <w:rsid w:val="007E6C0F"/>
    <w:rsid w:val="007F5E62"/>
    <w:rsid w:val="00807BB7"/>
    <w:rsid w:val="00807CE4"/>
    <w:rsid w:val="00812441"/>
    <w:rsid w:val="00821B8D"/>
    <w:rsid w:val="008248AF"/>
    <w:rsid w:val="00826943"/>
    <w:rsid w:val="00835A70"/>
    <w:rsid w:val="008411D8"/>
    <w:rsid w:val="008437FD"/>
    <w:rsid w:val="008518C5"/>
    <w:rsid w:val="00866474"/>
    <w:rsid w:val="0087631E"/>
    <w:rsid w:val="0087688C"/>
    <w:rsid w:val="0087773D"/>
    <w:rsid w:val="00894D7C"/>
    <w:rsid w:val="00895D61"/>
    <w:rsid w:val="008B0658"/>
    <w:rsid w:val="008B1052"/>
    <w:rsid w:val="008B2B84"/>
    <w:rsid w:val="008B5A27"/>
    <w:rsid w:val="008C337F"/>
    <w:rsid w:val="008D09FE"/>
    <w:rsid w:val="008D1D2A"/>
    <w:rsid w:val="008D41FD"/>
    <w:rsid w:val="008E4F46"/>
    <w:rsid w:val="008F5B49"/>
    <w:rsid w:val="00901512"/>
    <w:rsid w:val="0090568B"/>
    <w:rsid w:val="00905F42"/>
    <w:rsid w:val="009062FE"/>
    <w:rsid w:val="009314DC"/>
    <w:rsid w:val="0093536C"/>
    <w:rsid w:val="009409D0"/>
    <w:rsid w:val="00941A80"/>
    <w:rsid w:val="00961D43"/>
    <w:rsid w:val="0096447C"/>
    <w:rsid w:val="009751E8"/>
    <w:rsid w:val="0097572B"/>
    <w:rsid w:val="00984AD3"/>
    <w:rsid w:val="00992B80"/>
    <w:rsid w:val="009A799F"/>
    <w:rsid w:val="009D48CA"/>
    <w:rsid w:val="009D61DD"/>
    <w:rsid w:val="009D73D6"/>
    <w:rsid w:val="009E0FDD"/>
    <w:rsid w:val="00A06A69"/>
    <w:rsid w:val="00A20196"/>
    <w:rsid w:val="00A2046E"/>
    <w:rsid w:val="00A208A0"/>
    <w:rsid w:val="00A23616"/>
    <w:rsid w:val="00A33978"/>
    <w:rsid w:val="00A409CB"/>
    <w:rsid w:val="00A41BE0"/>
    <w:rsid w:val="00A50B8C"/>
    <w:rsid w:val="00A6226B"/>
    <w:rsid w:val="00A73FD5"/>
    <w:rsid w:val="00A878F8"/>
    <w:rsid w:val="00A93DF4"/>
    <w:rsid w:val="00A95448"/>
    <w:rsid w:val="00AA15AF"/>
    <w:rsid w:val="00AA2C65"/>
    <w:rsid w:val="00AB0187"/>
    <w:rsid w:val="00AB03A5"/>
    <w:rsid w:val="00AC3DF5"/>
    <w:rsid w:val="00AC4174"/>
    <w:rsid w:val="00AD1A70"/>
    <w:rsid w:val="00AD63FA"/>
    <w:rsid w:val="00AE2004"/>
    <w:rsid w:val="00AE2146"/>
    <w:rsid w:val="00AE79C2"/>
    <w:rsid w:val="00AF1464"/>
    <w:rsid w:val="00AF470A"/>
    <w:rsid w:val="00B11F80"/>
    <w:rsid w:val="00B12938"/>
    <w:rsid w:val="00B1431B"/>
    <w:rsid w:val="00B2779D"/>
    <w:rsid w:val="00B31FE6"/>
    <w:rsid w:val="00B3307B"/>
    <w:rsid w:val="00B3679C"/>
    <w:rsid w:val="00B367D6"/>
    <w:rsid w:val="00B612AD"/>
    <w:rsid w:val="00B630C7"/>
    <w:rsid w:val="00B6679F"/>
    <w:rsid w:val="00B767E4"/>
    <w:rsid w:val="00B814CD"/>
    <w:rsid w:val="00B81D23"/>
    <w:rsid w:val="00B842EE"/>
    <w:rsid w:val="00B96C11"/>
    <w:rsid w:val="00BA7EA3"/>
    <w:rsid w:val="00BB4A99"/>
    <w:rsid w:val="00BB51BE"/>
    <w:rsid w:val="00BB791E"/>
    <w:rsid w:val="00BC07EA"/>
    <w:rsid w:val="00BC091D"/>
    <w:rsid w:val="00BD62D0"/>
    <w:rsid w:val="00BF0552"/>
    <w:rsid w:val="00BF4D67"/>
    <w:rsid w:val="00C00B7F"/>
    <w:rsid w:val="00C04D7F"/>
    <w:rsid w:val="00C05B1E"/>
    <w:rsid w:val="00C07ABC"/>
    <w:rsid w:val="00C1198E"/>
    <w:rsid w:val="00C11E1D"/>
    <w:rsid w:val="00C1413B"/>
    <w:rsid w:val="00C14D4E"/>
    <w:rsid w:val="00C20F56"/>
    <w:rsid w:val="00C33306"/>
    <w:rsid w:val="00C562D7"/>
    <w:rsid w:val="00C57C96"/>
    <w:rsid w:val="00C65ACB"/>
    <w:rsid w:val="00C65ED3"/>
    <w:rsid w:val="00C66BA2"/>
    <w:rsid w:val="00C722C7"/>
    <w:rsid w:val="00C76DAD"/>
    <w:rsid w:val="00C81523"/>
    <w:rsid w:val="00C9403C"/>
    <w:rsid w:val="00CA7B3A"/>
    <w:rsid w:val="00CB0211"/>
    <w:rsid w:val="00CB627E"/>
    <w:rsid w:val="00CB6BAC"/>
    <w:rsid w:val="00CC5D26"/>
    <w:rsid w:val="00CE1D2D"/>
    <w:rsid w:val="00CF4629"/>
    <w:rsid w:val="00D0148F"/>
    <w:rsid w:val="00D01B74"/>
    <w:rsid w:val="00D03D3B"/>
    <w:rsid w:val="00D04206"/>
    <w:rsid w:val="00D27E57"/>
    <w:rsid w:val="00D3299B"/>
    <w:rsid w:val="00D3304C"/>
    <w:rsid w:val="00D346EB"/>
    <w:rsid w:val="00D4109F"/>
    <w:rsid w:val="00D4609A"/>
    <w:rsid w:val="00D610DF"/>
    <w:rsid w:val="00D61B4E"/>
    <w:rsid w:val="00D61FB7"/>
    <w:rsid w:val="00D61FD3"/>
    <w:rsid w:val="00D6357E"/>
    <w:rsid w:val="00D679B3"/>
    <w:rsid w:val="00D76E9C"/>
    <w:rsid w:val="00D77778"/>
    <w:rsid w:val="00D845FC"/>
    <w:rsid w:val="00D97704"/>
    <w:rsid w:val="00DA2C86"/>
    <w:rsid w:val="00DA56CA"/>
    <w:rsid w:val="00DB0CA6"/>
    <w:rsid w:val="00DC2867"/>
    <w:rsid w:val="00DC35D5"/>
    <w:rsid w:val="00DE2A99"/>
    <w:rsid w:val="00DE5427"/>
    <w:rsid w:val="00DF0849"/>
    <w:rsid w:val="00DF1A93"/>
    <w:rsid w:val="00DF2E78"/>
    <w:rsid w:val="00E065EA"/>
    <w:rsid w:val="00E1136C"/>
    <w:rsid w:val="00E114AC"/>
    <w:rsid w:val="00E1447B"/>
    <w:rsid w:val="00E15D5C"/>
    <w:rsid w:val="00E23B22"/>
    <w:rsid w:val="00E30EF2"/>
    <w:rsid w:val="00E34A0C"/>
    <w:rsid w:val="00E60AD2"/>
    <w:rsid w:val="00E61698"/>
    <w:rsid w:val="00E62236"/>
    <w:rsid w:val="00E67374"/>
    <w:rsid w:val="00E741A6"/>
    <w:rsid w:val="00E92CE1"/>
    <w:rsid w:val="00EA1E3E"/>
    <w:rsid w:val="00EC6A0D"/>
    <w:rsid w:val="00ED1EB8"/>
    <w:rsid w:val="00ED3D6B"/>
    <w:rsid w:val="00ED458C"/>
    <w:rsid w:val="00EE64EA"/>
    <w:rsid w:val="00EF20AA"/>
    <w:rsid w:val="00EF4342"/>
    <w:rsid w:val="00EF4DFE"/>
    <w:rsid w:val="00EF608D"/>
    <w:rsid w:val="00EF646D"/>
    <w:rsid w:val="00F044F5"/>
    <w:rsid w:val="00F118C8"/>
    <w:rsid w:val="00F15165"/>
    <w:rsid w:val="00F151D0"/>
    <w:rsid w:val="00F24D7D"/>
    <w:rsid w:val="00F260A6"/>
    <w:rsid w:val="00F265AC"/>
    <w:rsid w:val="00F4071C"/>
    <w:rsid w:val="00F425F4"/>
    <w:rsid w:val="00F51EBA"/>
    <w:rsid w:val="00F55A3B"/>
    <w:rsid w:val="00F604D5"/>
    <w:rsid w:val="00F610FB"/>
    <w:rsid w:val="00F6260D"/>
    <w:rsid w:val="00F6419B"/>
    <w:rsid w:val="00F76466"/>
    <w:rsid w:val="00F76C6B"/>
    <w:rsid w:val="00F81559"/>
    <w:rsid w:val="00F84580"/>
    <w:rsid w:val="00F956F7"/>
    <w:rsid w:val="00F97B6B"/>
    <w:rsid w:val="00FC6463"/>
    <w:rsid w:val="00FD324C"/>
    <w:rsid w:val="00FD7546"/>
    <w:rsid w:val="00FE396A"/>
    <w:rsid w:val="02791464"/>
    <w:rsid w:val="034C35C6"/>
    <w:rsid w:val="039F3EAE"/>
    <w:rsid w:val="05F25056"/>
    <w:rsid w:val="09BF0727"/>
    <w:rsid w:val="09FE6C98"/>
    <w:rsid w:val="0A013CA8"/>
    <w:rsid w:val="0B19340B"/>
    <w:rsid w:val="0B324F14"/>
    <w:rsid w:val="0DED3E85"/>
    <w:rsid w:val="136D538D"/>
    <w:rsid w:val="15FF156C"/>
    <w:rsid w:val="163701A8"/>
    <w:rsid w:val="1DFF3B24"/>
    <w:rsid w:val="1EDE3C7D"/>
    <w:rsid w:val="224C61F4"/>
    <w:rsid w:val="23B56581"/>
    <w:rsid w:val="259E1D43"/>
    <w:rsid w:val="2603592D"/>
    <w:rsid w:val="275A7CEB"/>
    <w:rsid w:val="293F1448"/>
    <w:rsid w:val="29B154A4"/>
    <w:rsid w:val="29F65B70"/>
    <w:rsid w:val="2B6B4A03"/>
    <w:rsid w:val="2E9911CA"/>
    <w:rsid w:val="30EB6821"/>
    <w:rsid w:val="31A3274D"/>
    <w:rsid w:val="3378473A"/>
    <w:rsid w:val="33DD54EF"/>
    <w:rsid w:val="37E31ABE"/>
    <w:rsid w:val="38F915CB"/>
    <w:rsid w:val="3A82764B"/>
    <w:rsid w:val="3A9D5583"/>
    <w:rsid w:val="3B3E44C6"/>
    <w:rsid w:val="3C49320F"/>
    <w:rsid w:val="3C900D24"/>
    <w:rsid w:val="3F2F5F2E"/>
    <w:rsid w:val="44AC65E7"/>
    <w:rsid w:val="47137CCF"/>
    <w:rsid w:val="49DD3622"/>
    <w:rsid w:val="4B1E6461"/>
    <w:rsid w:val="4DF8241B"/>
    <w:rsid w:val="50B829BB"/>
    <w:rsid w:val="523F34BF"/>
    <w:rsid w:val="562F7F6C"/>
    <w:rsid w:val="580F71CE"/>
    <w:rsid w:val="5B02060C"/>
    <w:rsid w:val="604F71EB"/>
    <w:rsid w:val="633E1156"/>
    <w:rsid w:val="636711F0"/>
    <w:rsid w:val="653B41DD"/>
    <w:rsid w:val="66A77FEF"/>
    <w:rsid w:val="69B336F2"/>
    <w:rsid w:val="69F7532D"/>
    <w:rsid w:val="6B770521"/>
    <w:rsid w:val="6B847B8B"/>
    <w:rsid w:val="70682A61"/>
    <w:rsid w:val="71935F2D"/>
    <w:rsid w:val="77AF5706"/>
    <w:rsid w:val="7A6A44AB"/>
    <w:rsid w:val="7D631C0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2"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FollowedHyperlink"/>
    <w:basedOn w:val="6"/>
    <w:unhideWhenUsed/>
    <w:qFormat/>
    <w:uiPriority w:val="99"/>
    <w:rPr>
      <w:color w:val="800080"/>
      <w:u w:val="single"/>
    </w:r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无间隔1"/>
    <w:basedOn w:val="1"/>
    <w:qFormat/>
    <w:uiPriority w:val="0"/>
  </w:style>
  <w:style w:type="paragraph" w:customStyle="1" w:styleId="15">
    <w:name w:val="_Style 0"/>
    <w:basedOn w:val="1"/>
    <w:qFormat/>
    <w:uiPriority w:val="0"/>
  </w:style>
  <w:style w:type="character" w:customStyle="1" w:styleId="16">
    <w:name w:val="10"/>
    <w:basedOn w:val="6"/>
    <w:qFormat/>
    <w:uiPriority w:val="0"/>
    <w:rPr>
      <w:rFonts w:hint="default" w:ascii="Times New Roman" w:hAnsi="Times New Roman" w:cs="Times New Roman"/>
    </w:rPr>
  </w:style>
  <w:style w:type="character" w:customStyle="1" w:styleId="17">
    <w:name w:val="15"/>
    <w:basedOn w:val="6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6"/>
    <w:basedOn w:val="6"/>
    <w:qFormat/>
    <w:uiPriority w:val="0"/>
    <w:rPr>
      <w:rFonts w:hint="default" w:ascii="Times New Roman" w:hAnsi="Times New Roman" w:cs="Times New Roman"/>
      <w:color w:val="333333"/>
    </w:rPr>
  </w:style>
  <w:style w:type="paragraph" w:customStyle="1" w:styleId="19">
    <w:name w:val="无间隔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0">
    <w:name w:val="列出段落1"/>
    <w:basedOn w:val="1"/>
    <w:qFormat/>
    <w:uiPriority w:val="34"/>
    <w:pPr>
      <w:ind w:firstLine="420" w:firstLineChars="200"/>
    </w:pPr>
  </w:style>
  <w:style w:type="character" w:customStyle="1" w:styleId="21">
    <w:name w:val="font61"/>
    <w:basedOn w:val="6"/>
    <w:qFormat/>
    <w:uiPriority w:val="0"/>
    <w:rPr>
      <w:rFonts w:hint="eastAsia" w:ascii="宋体" w:hAnsi="宋体" w:eastAsia="宋体" w:cs="宋体"/>
      <w:color w:val="auto"/>
      <w:sz w:val="24"/>
      <w:szCs w:val="24"/>
      <w:u w:val="none"/>
    </w:rPr>
  </w:style>
  <w:style w:type="character" w:customStyle="1" w:styleId="22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072EB0-FCF4-4F34-8AAE-2B14F994CD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12</Pages>
  <Words>760</Words>
  <Characters>4338</Characters>
  <Lines>36</Lines>
  <Paragraphs>10</Paragraphs>
  <TotalTime>0</TotalTime>
  <ScaleCrop>false</ScaleCrop>
  <LinksUpToDate>false</LinksUpToDate>
  <CharactersWithSpaces>5088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2017-10-30T06:38:00Z</dcterms:created>
  <dc:creator>齐鲁文渊</dc:creator>
  <cp:lastModifiedBy>Administrator</cp:lastModifiedBy>
  <cp:lastPrinted>2017-11-07T01:28:00Z</cp:lastPrinted>
  <dcterms:modified xsi:type="dcterms:W3CDTF">2017-11-23T07:38:48Z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